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-6344</wp:posOffset>
            </wp:positionH>
            <wp:positionV relativeFrom="page">
              <wp:posOffset>442964</wp:posOffset>
            </wp:positionV>
            <wp:extent cx="856897" cy="188967"/>
            <wp:effectExtent b="0" l="0" r="0" t="0"/>
            <wp:wrapNone/>
            <wp:docPr descr="Immagine" id="2" name="image1.png"/>
            <a:graphic>
              <a:graphicData uri="http://schemas.openxmlformats.org/drawingml/2006/picture">
                <pic:pic>
                  <pic:nvPicPr>
                    <pic:cNvPr descr="Immag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487"/>
        <w:gridCol w:w="3135"/>
        <w:tblGridChange w:id="0">
          <w:tblGrid>
            <w:gridCol w:w="6487"/>
            <w:gridCol w:w="313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5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Scheda tecnica di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Ultimo aggiornamento dati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Composta di Ciliegino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26/11/2022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260"/>
        <w:gridCol w:w="3714"/>
        <w:gridCol w:w="2660"/>
        <w:tblGridChange w:id="0">
          <w:tblGrid>
            <w:gridCol w:w="3260"/>
            <w:gridCol w:w="3714"/>
            <w:gridCol w:w="2660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Informazioni generali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Composta di Ciliegino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Marchio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Passo  Ladro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Operatore del settore alimentare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Reginella S.r.l. Societa' Agricola Via Von Platen Ronco A, 49 Siracusa Sicilia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P.Iva 01655690897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Stabilimento di produzione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 287 km 6.3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Noto 96017 – Siracusa (Italy)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Codice Operatore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c1d"/>
                <w:sz w:val="23"/>
                <w:szCs w:val="23"/>
                <w:shd w:fill="f8f8f8" w:val="clear"/>
                <w:rtl w:val="0"/>
              </w:rPr>
              <w:t xml:space="preserve">QI0398U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ODC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IT-BIO-023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Tipo Agricoltura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Agricoltura EU/non EU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di consumatori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Tutte, con le dovute esclusioni dei soggetti allergici alle sostanze indicate nella presente scheda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714"/>
        <w:gridCol w:w="1984"/>
        <w:gridCol w:w="3936"/>
        <w:tblGridChange w:id="0">
          <w:tblGrid>
            <w:gridCol w:w="3714"/>
            <w:gridCol w:w="1984"/>
            <w:gridCol w:w="3936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Packaging, formati e unità di vendita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 primario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imballo)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Capsula/Capsule: Latta/Tin (FE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Vaso/Jar: Vetro/Glass (GL70)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materiali di confezionamento sono conformi al reg. UE 1935/2004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03922" cy="1724406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922" cy="17244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200 gr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Peso sgocciolato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 secondario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imballo)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Pezzi per unità di vendita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8056697151992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Pallettizzazione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76"/>
        <w:gridCol w:w="7758"/>
        <w:tblGridChange w:id="0">
          <w:tblGrid>
            <w:gridCol w:w="1876"/>
            <w:gridCol w:w="7758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Caratteristiche del prodotto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Ingredienti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Ingredienti: *pomodoro ciliegino 82,51%, *zucchero di canna, *succo di limone, sale, *basilico, *zenzero. *Da agricoltura biologica / Ingredients: *cherry tomato 82,51%, *cane sugar, *lemon juice, salt, *basil, *ginger. *From organic farming.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Shelf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 mesi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Conservazione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Conservare in un ambiente fresco, secco e lontano da fonti di luce. Una volta aperto, mantieni refrigerato e usa entro 3-4 giorni. / Store in a cool, dry place, away from light sources. Once opened, keep refrigerated and use within 3-4 days.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296"/>
        <w:gridCol w:w="2835"/>
        <w:gridCol w:w="1810"/>
        <w:gridCol w:w="2693"/>
        <w:tblGridChange w:id="0">
          <w:tblGrid>
            <w:gridCol w:w="2296"/>
            <w:gridCol w:w="2835"/>
            <w:gridCol w:w="1810"/>
            <w:gridCol w:w="2693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Sicurezza e difesa alimentare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L’azienda rispetta i principi dell’HACCP ed esegue un piano di autocontrollo come previsto dal Reg. CE n. 852/2004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Rintracciabilità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L’azienda adotta un sistema di rintracciabilità conforme ai requisiti del reg. CE 178/2002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Parametri chimici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4.15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Metalli pesanti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CE 1881/2006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Pesticidi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MRL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CE 396/2005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Perossidi della frazione lipidica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20 meqO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0,98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ISO 18787:2017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Parametri microbiologici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 ufc/g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Lieviti e muffe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 ufc/g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Clostridi solfito riduttori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-6345</wp:posOffset>
            </wp:positionH>
            <wp:positionV relativeFrom="page">
              <wp:posOffset>452356</wp:posOffset>
            </wp:positionV>
            <wp:extent cx="856897" cy="188967"/>
            <wp:effectExtent b="0" l="0" r="0" t="0"/>
            <wp:wrapNone/>
            <wp:docPr descr="Immagine" id="5" name="image1.png"/>
            <a:graphic>
              <a:graphicData uri="http://schemas.openxmlformats.org/drawingml/2006/picture">
                <pic:pic>
                  <pic:nvPicPr>
                    <pic:cNvPr descr="Immag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397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122"/>
        <w:gridCol w:w="1275"/>
        <w:tblGridChange w:id="0">
          <w:tblGrid>
            <w:gridCol w:w="2122"/>
            <w:gridCol w:w="127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Dichiarazione nutrizionale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 medio per 100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Energia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94"/>
              </w:tabs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541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kj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9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128 kcal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Grassi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0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di cui acidi grassi saturi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Carboidrati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29 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di cui zuccheri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27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0.02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964"/>
        <w:gridCol w:w="1630"/>
        <w:gridCol w:w="1631"/>
        <w:gridCol w:w="2409"/>
        <w:tblGridChange w:id="0">
          <w:tblGrid>
            <w:gridCol w:w="3964"/>
            <w:gridCol w:w="1630"/>
            <w:gridCol w:w="1631"/>
            <w:gridCol w:w="2409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Dichiarazione allergeni (reg. UE n. 1169/2011)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Allergene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 nel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 come possibile contaminante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43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specifico, se applicabile /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Cereali contenenti glutine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Crostacei e prodotti a base di crostacei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Uova e prodotti a base di uova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Pesce e prodotti a base di pesce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Arachidi e prodotti a base di arachidi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Soia e prodotti a base di soia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Latte e prodotti a base di latte e derivati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Frutta a guscio e derivati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Sedano e prodotti a base di sedano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Senape e prodotti a base di senape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 di sesamo e prod. a base di semi di sesamo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Anidride solforosa e solfiti &gt; 10 mg/kg o mg/L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color w:val="ff0000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Lupino e prodotti a base di lupino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Molluschi e prodotti a base di molluschi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-6345</wp:posOffset>
            </wp:positionH>
            <wp:positionV relativeFrom="page">
              <wp:posOffset>437883</wp:posOffset>
            </wp:positionV>
            <wp:extent cx="856897" cy="188967"/>
            <wp:effectExtent b="0" l="0" r="0" t="0"/>
            <wp:wrapNone/>
            <wp:docPr descr="Immagine" id="4" name="image1.png"/>
            <a:graphic>
              <a:graphicData uri="http://schemas.openxmlformats.org/drawingml/2006/picture">
                <pic:pic>
                  <pic:nvPicPr>
                    <pic:cNvPr descr="Immag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134" w:top="1445" w:left="1134" w:right="1134" w:header="372" w:footer="5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1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12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-14920</wp:posOffset>
              </wp:positionH>
              <wp:positionV relativeFrom="page">
                <wp:posOffset>10748330</wp:posOffset>
              </wp:positionV>
              <wp:extent cx="7803979" cy="60325"/>
              <wp:effectExtent b="0" l="0" r="0" t="0"/>
              <wp:wrapNone/>
              <wp:docPr descr="Linea"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67823" y="3773650"/>
                        <a:ext cx="7756354" cy="127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31849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-14920</wp:posOffset>
              </wp:positionH>
              <wp:positionV relativeFrom="page">
                <wp:posOffset>10748330</wp:posOffset>
              </wp:positionV>
              <wp:extent cx="7803979" cy="60325"/>
              <wp:effectExtent b="0" l="0" r="0" t="0"/>
              <wp:wrapNone/>
              <wp:docPr descr="Linea" id="1" name="image3.png"/>
              <a:graphic>
                <a:graphicData uri="http://schemas.openxmlformats.org/drawingml/2006/picture">
                  <pic:pic>
                    <pic:nvPicPr>
                      <pic:cNvPr descr="Linea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3979" cy="60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333333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333333"/>
        <w:sz w:val="16"/>
        <w:szCs w:val="16"/>
        <w:highlight w:val="white"/>
        <w:u w:val="none"/>
        <w:vertAlign w:val="baseline"/>
        <w:rtl w:val="0"/>
      </w:rPr>
      <w:t xml:space="preserve">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33333"/>
        <w:sz w:val="24"/>
        <w:szCs w:val="24"/>
        <w:highlight w:val="white"/>
        <w:u w:val="none"/>
        <w:vertAlign w:val="baseline"/>
        <w:rtl w:val="0"/>
      </w:rPr>
      <w:t xml:space="preserve">Reginella S.r.l. Societa' Agricola Via Von Platen Ronco A, 49 Siracusa Sicilia </w:t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Mod. ScTec</w:t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Em. del 28/05/2020</w:t>
      <w:br w:type="textWrapping"/>
      <w:t xml:space="preserve">Rev. 1 del 21/04/2022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c5QVuIy5/Diqko7VLtC0syMiQ==">CgMxLjA4AHIhMVhqaFQ3eVg3Nkh0WFV1aEFzVTlzWHBpRUd6aGdEME8y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